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6F" w:rsidRPr="001046BC" w:rsidRDefault="000B2F6F" w:rsidP="000B2F6F">
      <w:pPr>
        <w:spacing w:after="0" w:line="240" w:lineRule="auto"/>
        <w:rPr>
          <w:rFonts w:ascii="Arial" w:hAnsi="Arial" w:cs="Arial"/>
          <w:sz w:val="24"/>
        </w:rPr>
      </w:pPr>
      <w:r w:rsidRPr="001046BC">
        <w:rPr>
          <w:rFonts w:ascii="Arial" w:hAnsi="Arial" w:cs="Arial"/>
          <w:sz w:val="24"/>
          <w:highlight w:val="lightGray"/>
        </w:rPr>
        <w:t>Policyholder Name</w:t>
      </w:r>
      <w:r w:rsidRPr="001046BC">
        <w:rPr>
          <w:rFonts w:ascii="Arial" w:hAnsi="Arial" w:cs="Arial"/>
          <w:sz w:val="24"/>
          <w:highlight w:val="lightGray"/>
        </w:rPr>
        <w:br/>
        <w:t>Mailing Address 1</w:t>
      </w:r>
      <w:r w:rsidRPr="001046BC">
        <w:rPr>
          <w:rFonts w:ascii="Arial" w:hAnsi="Arial" w:cs="Arial"/>
          <w:sz w:val="24"/>
          <w:highlight w:val="lightGray"/>
        </w:rPr>
        <w:br/>
        <w:t>Mailing Address 2</w:t>
      </w:r>
    </w:p>
    <w:p w:rsidR="000B2F6F" w:rsidRPr="001046BC" w:rsidRDefault="000B2F6F" w:rsidP="000B2F6F">
      <w:pPr>
        <w:spacing w:after="0" w:line="240" w:lineRule="auto"/>
        <w:ind w:left="5760"/>
        <w:rPr>
          <w:rFonts w:ascii="Arial" w:hAnsi="Arial" w:cs="Arial"/>
          <w:sz w:val="24"/>
        </w:rPr>
      </w:pPr>
    </w:p>
    <w:p w:rsidR="000B2F6F" w:rsidRDefault="000B2F6F" w:rsidP="000B2F6F">
      <w:pPr>
        <w:spacing w:after="0" w:line="240" w:lineRule="auto"/>
        <w:ind w:left="5760"/>
      </w:pPr>
    </w:p>
    <w:p w:rsidR="000B2F6F" w:rsidRPr="003C365A" w:rsidRDefault="000B2F6F" w:rsidP="000B2F6F">
      <w:pPr>
        <w:jc w:val="center"/>
        <w:rPr>
          <w:b/>
          <w:sz w:val="28"/>
          <w:szCs w:val="28"/>
        </w:rPr>
      </w:pPr>
      <w:r>
        <w:rPr>
          <w:b/>
          <w:sz w:val="28"/>
          <w:szCs w:val="28"/>
        </w:rPr>
        <w:t xml:space="preserve">Notice of Offer of Assumption and Novation </w:t>
      </w:r>
    </w:p>
    <w:p w:rsidR="000B2F6F" w:rsidRPr="001046BC" w:rsidRDefault="000B2F6F" w:rsidP="000B2F6F">
      <w:pPr>
        <w:spacing w:after="0" w:line="240" w:lineRule="auto"/>
        <w:rPr>
          <w:rFonts w:ascii="Arial" w:hAnsi="Arial" w:cs="Arial"/>
          <w:b/>
          <w:sz w:val="24"/>
        </w:rPr>
      </w:pPr>
    </w:p>
    <w:p w:rsidR="000B2F6F" w:rsidRPr="001046BC" w:rsidRDefault="000B2F6F" w:rsidP="000B2F6F">
      <w:pPr>
        <w:rPr>
          <w:rFonts w:ascii="Arial" w:hAnsi="Arial" w:cs="Arial"/>
          <w:sz w:val="24"/>
        </w:rPr>
      </w:pPr>
      <w:r w:rsidRPr="001046BC">
        <w:rPr>
          <w:rFonts w:ascii="Arial" w:hAnsi="Arial" w:cs="Arial"/>
          <w:sz w:val="24"/>
        </w:rPr>
        <w:t xml:space="preserve">Dear </w:t>
      </w:r>
      <w:r w:rsidRPr="001046BC">
        <w:rPr>
          <w:rFonts w:ascii="Arial" w:hAnsi="Arial" w:cs="Arial"/>
          <w:sz w:val="24"/>
          <w:highlight w:val="lightGray"/>
        </w:rPr>
        <w:t>Policyholder,</w:t>
      </w:r>
    </w:p>
    <w:p w:rsidR="000B2F6F" w:rsidRPr="001046BC" w:rsidRDefault="000B2F6F" w:rsidP="000B2F6F">
      <w:pPr>
        <w:jc w:val="both"/>
        <w:rPr>
          <w:rFonts w:ascii="Arial" w:hAnsi="Arial" w:cs="Arial"/>
          <w:sz w:val="24"/>
        </w:rPr>
      </w:pPr>
      <w:r w:rsidRPr="001046BC">
        <w:rPr>
          <w:rFonts w:ascii="Arial" w:hAnsi="Arial" w:cs="Arial"/>
          <w:noProof/>
          <w:sz w:val="24"/>
        </w:rPr>
        <mc:AlternateContent>
          <mc:Choice Requires="wps">
            <w:drawing>
              <wp:anchor distT="0" distB="0" distL="114300" distR="114300" simplePos="0" relativeHeight="251659264" behindDoc="1" locked="0" layoutInCell="1" allowOverlap="1" wp14:anchorId="6ACC737D" wp14:editId="40777D38">
                <wp:simplePos x="0" y="0"/>
                <wp:positionH relativeFrom="margin">
                  <wp:align>center</wp:align>
                </wp:positionH>
                <wp:positionV relativeFrom="paragraph">
                  <wp:posOffset>860707</wp:posOffset>
                </wp:positionV>
                <wp:extent cx="1828800" cy="1828800"/>
                <wp:effectExtent l="247650" t="1009650" r="203835" b="1028065"/>
                <wp:wrapNone/>
                <wp:docPr id="30" name="Text Box 30"/>
                <wp:cNvGraphicFramePr/>
                <a:graphic xmlns:a="http://schemas.openxmlformats.org/drawingml/2006/main">
                  <a:graphicData uri="http://schemas.microsoft.com/office/word/2010/wordprocessingShape">
                    <wps:wsp>
                      <wps:cNvSpPr txBox="1"/>
                      <wps:spPr>
                        <a:xfrm rot="19145635">
                          <a:off x="0" y="0"/>
                          <a:ext cx="1828800" cy="1828800"/>
                        </a:xfrm>
                        <a:prstGeom prst="rect">
                          <a:avLst/>
                        </a:prstGeom>
                        <a:noFill/>
                        <a:ln>
                          <a:noFill/>
                        </a:ln>
                        <a:effectLst/>
                      </wps:spPr>
                      <wps:txbx>
                        <w:txbxContent>
                          <w:p w:rsidR="000B2F6F" w:rsidRPr="004715C3" w:rsidRDefault="00416FC1" w:rsidP="000B2F6F">
                            <w:pPr>
                              <w:jc w:val="cente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CC737D" id="_x0000_t202" coordsize="21600,21600" o:spt="202" path="m,l,21600r21600,l21600,xe">
                <v:stroke joinstyle="miter"/>
                <v:path gradientshapeok="t" o:connecttype="rect"/>
              </v:shapetype>
              <v:shape id="Text Box 30" o:spid="_x0000_s1026" type="#_x0000_t202" style="position:absolute;left:0;text-align:left;margin-left:0;margin-top:67.75pt;width:2in;height:2in;rotation:-2680821fd;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" filled="f" stroked="f">
                <v:textbox style="mso-fit-shape-to-text:t">
                  <w:txbxContent>
                    <w:p w:rsidR="000B2F6F" w:rsidRPr="004715C3" w:rsidRDefault="00416FC1" w:rsidP="000B2F6F">
                      <w:pPr>
                        <w:jc w:val="cente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DEEAF6" w:themeColor="accent1" w:themeTint="33"/>
                          <w:sz w:val="240"/>
                          <w:szCs w:val="2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txbxContent>
                </v:textbox>
                <w10:wrap anchorx="margin"/>
              </v:shape>
            </w:pict>
          </mc:Fallback>
        </mc:AlternateContent>
      </w:r>
      <w:r w:rsidRPr="001046BC">
        <w:rPr>
          <w:rFonts w:ascii="Arial" w:hAnsi="Arial" w:cs="Arial"/>
          <w:sz w:val="24"/>
          <w:highlight w:val="lightGray"/>
        </w:rPr>
        <w:t>Company Name</w:t>
      </w:r>
      <w:r w:rsidRPr="001046BC">
        <w:rPr>
          <w:rFonts w:ascii="Arial" w:hAnsi="Arial" w:cs="Arial"/>
          <w:sz w:val="24"/>
        </w:rPr>
        <w:t xml:space="preserve"> is participating in the Texas Windstorm Insurance Association’s depopulation program, a program enacted by the 2015 Texas Legislature to encourage insurers other than TWIA to write windstorm coverage along the Texas coast. We have reviewed TWIA’s policy database and identified your policy as one eligible for placement with our company. We are interested in assuming your TWIA windstorm and hail policy and have notified your insurance agent of our offer. Under this program, we are required to do the following: </w:t>
      </w:r>
    </w:p>
    <w:p w:rsidR="000B2F6F" w:rsidRDefault="000B2F6F" w:rsidP="000B2F6F">
      <w:pPr>
        <w:pStyle w:val="ListParagraph"/>
        <w:numPr>
          <w:ilvl w:val="0"/>
          <w:numId w:val="1"/>
        </w:numPr>
        <w:jc w:val="both"/>
        <w:rPr>
          <w:rFonts w:ascii="Arial" w:hAnsi="Arial" w:cs="Arial"/>
          <w:sz w:val="24"/>
        </w:rPr>
      </w:pPr>
      <w:r w:rsidRPr="001046BC">
        <w:rPr>
          <w:rFonts w:ascii="Arial" w:hAnsi="Arial" w:cs="Arial"/>
          <w:sz w:val="24"/>
        </w:rPr>
        <w:t xml:space="preserve">Continue to offer you rates comparable to TWIA for three renewal periods after your current TWIA policy expires. The premium is considered “generally comparable” if it </w:t>
      </w:r>
      <w:r>
        <w:rPr>
          <w:rFonts w:ascii="Arial" w:hAnsi="Arial" w:cs="Arial"/>
          <w:sz w:val="24"/>
        </w:rPr>
        <w:t>does not exceed 1</w:t>
      </w:r>
      <w:r w:rsidRPr="001046BC">
        <w:rPr>
          <w:rFonts w:ascii="Arial" w:hAnsi="Arial" w:cs="Arial"/>
          <w:sz w:val="24"/>
        </w:rPr>
        <w:t xml:space="preserve">15% of the TWIA premium for the same coverage. </w:t>
      </w:r>
    </w:p>
    <w:p w:rsidR="000B2F6F" w:rsidRPr="001046BC" w:rsidRDefault="000B2F6F" w:rsidP="000B2F6F">
      <w:pPr>
        <w:pStyle w:val="ListParagraph"/>
        <w:numPr>
          <w:ilvl w:val="0"/>
          <w:numId w:val="1"/>
        </w:numPr>
        <w:jc w:val="both"/>
        <w:rPr>
          <w:rFonts w:ascii="Arial" w:hAnsi="Arial" w:cs="Arial"/>
          <w:sz w:val="24"/>
        </w:rPr>
      </w:pPr>
      <w:r>
        <w:rPr>
          <w:rFonts w:ascii="Arial" w:hAnsi="Arial" w:cs="Arial"/>
          <w:sz w:val="24"/>
        </w:rPr>
        <w:t xml:space="preserve">Continue to offer your coverage comparable to TWIA for three renewal periods after your current TWIA policy expires. </w:t>
      </w:r>
      <w:r w:rsidRPr="001046BC">
        <w:rPr>
          <w:rFonts w:ascii="Arial" w:hAnsi="Arial" w:cs="Arial"/>
          <w:sz w:val="24"/>
        </w:rPr>
        <w:t>[Include an explanation of any material differences in coverage here, if any].</w:t>
      </w:r>
    </w:p>
    <w:p w:rsidR="000B2F6F" w:rsidRPr="001046BC" w:rsidRDefault="000B2F6F" w:rsidP="000B2F6F">
      <w:pPr>
        <w:pStyle w:val="ListParagraph"/>
        <w:numPr>
          <w:ilvl w:val="0"/>
          <w:numId w:val="1"/>
        </w:numPr>
        <w:jc w:val="both"/>
        <w:rPr>
          <w:rFonts w:ascii="Arial" w:hAnsi="Arial" w:cs="Arial"/>
          <w:sz w:val="24"/>
        </w:rPr>
      </w:pPr>
      <w:r w:rsidRPr="001046BC">
        <w:rPr>
          <w:rFonts w:ascii="Arial" w:hAnsi="Arial" w:cs="Arial"/>
          <w:sz w:val="24"/>
        </w:rPr>
        <w:t>Allow you to keep your current insurance agent.</w:t>
      </w:r>
    </w:p>
    <w:p w:rsidR="000B2F6F" w:rsidRPr="00503D4C" w:rsidRDefault="000B2F6F" w:rsidP="000B2F6F">
      <w:pPr>
        <w:jc w:val="both"/>
        <w:rPr>
          <w:rFonts w:ascii="Arial" w:hAnsi="Arial" w:cs="Arial"/>
          <w:b/>
          <w:sz w:val="24"/>
          <w:u w:val="single"/>
        </w:rPr>
      </w:pPr>
      <w:r w:rsidRPr="00503D4C">
        <w:rPr>
          <w:rFonts w:ascii="Arial" w:hAnsi="Arial" w:cs="Arial"/>
          <w:b/>
          <w:sz w:val="24"/>
          <w:u w:val="single"/>
        </w:rPr>
        <w:t xml:space="preserve">To Transfer my Policy to </w:t>
      </w:r>
      <w:r w:rsidR="002C3680" w:rsidRPr="002C3680">
        <w:rPr>
          <w:rFonts w:ascii="Arial" w:hAnsi="Arial" w:cs="Arial"/>
          <w:b/>
          <w:sz w:val="24"/>
          <w:highlight w:val="lightGray"/>
          <w:u w:val="single"/>
        </w:rPr>
        <w:t>Company Name</w:t>
      </w:r>
    </w:p>
    <w:p w:rsidR="000B2F6F" w:rsidRPr="00503D4C" w:rsidRDefault="000B2F6F" w:rsidP="000B2F6F">
      <w:pPr>
        <w:jc w:val="both"/>
        <w:rPr>
          <w:rFonts w:ascii="Arial" w:hAnsi="Arial" w:cs="Arial"/>
          <w:sz w:val="24"/>
        </w:rPr>
      </w:pPr>
      <w:r w:rsidRPr="00503D4C">
        <w:rPr>
          <w:rFonts w:ascii="Arial" w:hAnsi="Arial" w:cs="Arial"/>
          <w:sz w:val="24"/>
        </w:rPr>
        <w:t xml:space="preserve">If you want </w:t>
      </w:r>
      <w:r w:rsidRPr="001046BC">
        <w:rPr>
          <w:rFonts w:ascii="Arial" w:hAnsi="Arial" w:cs="Arial"/>
          <w:sz w:val="24"/>
          <w:highlight w:val="lightGray"/>
        </w:rPr>
        <w:t>Company Name</w:t>
      </w:r>
      <w:r w:rsidRPr="001046BC">
        <w:rPr>
          <w:rFonts w:ascii="Arial" w:hAnsi="Arial" w:cs="Arial"/>
          <w:sz w:val="24"/>
        </w:rPr>
        <w:t xml:space="preserve"> </w:t>
      </w:r>
      <w:r w:rsidRPr="00503D4C">
        <w:rPr>
          <w:rFonts w:ascii="Arial" w:hAnsi="Arial" w:cs="Arial"/>
          <w:sz w:val="24"/>
        </w:rPr>
        <w:t xml:space="preserve">to be your new windstorm insurance carrier you do not need to take any action. Your policy will automatically transfer to </w:t>
      </w:r>
      <w:r w:rsidRPr="001046BC">
        <w:rPr>
          <w:rFonts w:ascii="Arial" w:hAnsi="Arial" w:cs="Arial"/>
          <w:sz w:val="24"/>
          <w:highlight w:val="lightGray"/>
        </w:rPr>
        <w:t>Company Name</w:t>
      </w:r>
      <w:r w:rsidRPr="00503D4C">
        <w:rPr>
          <w:rFonts w:ascii="Arial" w:hAnsi="Arial" w:cs="Arial"/>
          <w:sz w:val="24"/>
        </w:rPr>
        <w:t>, effective June 1, 20XX.</w:t>
      </w:r>
    </w:p>
    <w:p w:rsidR="000B2F6F" w:rsidRPr="00503D4C" w:rsidRDefault="000B2F6F" w:rsidP="000B2F6F">
      <w:pPr>
        <w:jc w:val="both"/>
        <w:rPr>
          <w:rFonts w:ascii="Arial" w:hAnsi="Arial" w:cs="Arial"/>
          <w:b/>
          <w:sz w:val="24"/>
          <w:u w:val="single"/>
        </w:rPr>
      </w:pPr>
      <w:r w:rsidRPr="00503D4C">
        <w:rPr>
          <w:rFonts w:ascii="Arial" w:hAnsi="Arial" w:cs="Arial"/>
          <w:b/>
          <w:sz w:val="24"/>
          <w:u w:val="single"/>
        </w:rPr>
        <w:t>To Keep my Policy with TWIA</w:t>
      </w:r>
    </w:p>
    <w:p w:rsidR="000B2F6F" w:rsidRPr="001046BC" w:rsidRDefault="000B2F6F" w:rsidP="000B2F6F">
      <w:pPr>
        <w:jc w:val="both"/>
        <w:rPr>
          <w:rFonts w:ascii="Arial" w:hAnsi="Arial" w:cs="Arial"/>
          <w:sz w:val="24"/>
        </w:rPr>
      </w:pPr>
      <w:r w:rsidRPr="00503D4C">
        <w:rPr>
          <w:rFonts w:ascii="Arial" w:hAnsi="Arial" w:cs="Arial"/>
          <w:sz w:val="24"/>
        </w:rPr>
        <w:t xml:space="preserve">If you don’t want your coverage transferred to </w:t>
      </w:r>
      <w:r w:rsidRPr="001046BC">
        <w:rPr>
          <w:rFonts w:ascii="Arial" w:hAnsi="Arial" w:cs="Arial"/>
          <w:sz w:val="24"/>
          <w:highlight w:val="lightGray"/>
        </w:rPr>
        <w:t>Company Name</w:t>
      </w:r>
      <w:r w:rsidRPr="00503D4C">
        <w:rPr>
          <w:rFonts w:ascii="Arial" w:hAnsi="Arial" w:cs="Arial"/>
          <w:sz w:val="24"/>
        </w:rPr>
        <w:t xml:space="preserve">, then you must </w:t>
      </w:r>
      <w:r w:rsidR="004C6A01">
        <w:rPr>
          <w:rFonts w:ascii="Arial" w:hAnsi="Arial" w:cs="Arial"/>
          <w:sz w:val="24"/>
        </w:rPr>
        <w:t>detach the form on page 2 of the letter you received from TWIA, sign and return to TWIA</w:t>
      </w:r>
      <w:r w:rsidRPr="00503D4C">
        <w:rPr>
          <w:rFonts w:ascii="Arial" w:hAnsi="Arial" w:cs="Arial"/>
          <w:sz w:val="24"/>
        </w:rPr>
        <w:t xml:space="preserve"> no later than May 31, 20</w:t>
      </w:r>
      <w:r w:rsidR="00632C6C">
        <w:rPr>
          <w:rFonts w:ascii="Arial" w:hAnsi="Arial" w:cs="Arial"/>
          <w:sz w:val="24"/>
        </w:rPr>
        <w:t>XX</w:t>
      </w:r>
      <w:bookmarkStart w:id="0" w:name="_GoBack"/>
      <w:bookmarkEnd w:id="0"/>
      <w:r w:rsidRPr="00503D4C">
        <w:rPr>
          <w:rFonts w:ascii="Arial" w:hAnsi="Arial" w:cs="Arial"/>
          <w:sz w:val="24"/>
        </w:rPr>
        <w:t xml:space="preserve"> to opt out of the proposed policy change. If you opt out, your windstorm coverage will continue to be provided by TWIA. </w:t>
      </w:r>
    </w:p>
    <w:p w:rsidR="000B2F6F" w:rsidRPr="001046BC" w:rsidRDefault="000B2F6F" w:rsidP="000B2F6F">
      <w:pPr>
        <w:jc w:val="both"/>
        <w:rPr>
          <w:rFonts w:ascii="Arial" w:hAnsi="Arial" w:cs="Arial"/>
          <w:sz w:val="24"/>
        </w:rPr>
      </w:pPr>
      <w:r w:rsidRPr="001046BC">
        <w:rPr>
          <w:rFonts w:ascii="Arial" w:hAnsi="Arial" w:cs="Arial"/>
          <w:sz w:val="24"/>
        </w:rPr>
        <w:t xml:space="preserve">Please contact [COMPANY TOLLFREE NUMBER] with any questions. </w:t>
      </w:r>
    </w:p>
    <w:p w:rsidR="000B2F6F" w:rsidRPr="001046BC" w:rsidRDefault="000B2F6F" w:rsidP="000B2F6F">
      <w:pPr>
        <w:spacing w:after="0" w:line="240" w:lineRule="auto"/>
        <w:rPr>
          <w:rFonts w:ascii="Arial" w:hAnsi="Arial" w:cs="Arial"/>
          <w:sz w:val="24"/>
        </w:rPr>
      </w:pPr>
      <w:r w:rsidRPr="001046BC">
        <w:rPr>
          <w:rFonts w:ascii="Arial" w:hAnsi="Arial" w:cs="Arial"/>
          <w:sz w:val="24"/>
        </w:rPr>
        <w:lastRenderedPageBreak/>
        <w:t>Sincerely,</w:t>
      </w:r>
    </w:p>
    <w:p w:rsidR="000B2F6F" w:rsidRPr="001046BC" w:rsidRDefault="000B2F6F" w:rsidP="000B2F6F">
      <w:pPr>
        <w:spacing w:after="0" w:line="240" w:lineRule="auto"/>
        <w:rPr>
          <w:rFonts w:ascii="Arial" w:hAnsi="Arial" w:cs="Arial"/>
          <w:sz w:val="24"/>
        </w:rPr>
      </w:pPr>
    </w:p>
    <w:p w:rsidR="000B2F6F" w:rsidRPr="001046BC" w:rsidRDefault="000B2F6F" w:rsidP="000B2F6F">
      <w:pPr>
        <w:spacing w:after="0" w:line="240" w:lineRule="auto"/>
        <w:rPr>
          <w:rFonts w:ascii="Arial" w:hAnsi="Arial" w:cs="Arial"/>
          <w:sz w:val="24"/>
        </w:rPr>
      </w:pPr>
      <w:r w:rsidRPr="001046BC">
        <w:rPr>
          <w:rFonts w:ascii="Arial" w:hAnsi="Arial" w:cs="Arial"/>
          <w:sz w:val="24"/>
        </w:rPr>
        <w:t>[COMPANY NAME]</w:t>
      </w:r>
    </w:p>
    <w:p w:rsidR="000B2F6F" w:rsidRPr="001046BC" w:rsidRDefault="000B2F6F" w:rsidP="000B2F6F">
      <w:pPr>
        <w:spacing w:after="0" w:line="240" w:lineRule="auto"/>
        <w:rPr>
          <w:rFonts w:ascii="Arial" w:hAnsi="Arial" w:cs="Arial"/>
          <w:sz w:val="24"/>
        </w:rPr>
      </w:pPr>
    </w:p>
    <w:p w:rsidR="006F7CBD" w:rsidRDefault="000B2F6F" w:rsidP="000B2F6F">
      <w:r w:rsidRPr="001046BC">
        <w:rPr>
          <w:rFonts w:ascii="Arial" w:hAnsi="Arial" w:cs="Arial"/>
          <w:sz w:val="24"/>
        </w:rPr>
        <w:t xml:space="preserve">Copy:  </w:t>
      </w:r>
      <w:r w:rsidRPr="001046BC">
        <w:rPr>
          <w:rFonts w:ascii="Arial" w:hAnsi="Arial" w:cs="Arial"/>
          <w:sz w:val="24"/>
          <w:highlight w:val="lightGray"/>
        </w:rPr>
        <w:t>Agency Name</w:t>
      </w:r>
    </w:p>
    <w:sectPr w:rsidR="006F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310"/>
    <w:multiLevelType w:val="hybridMultilevel"/>
    <w:tmpl w:val="CCB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6F"/>
    <w:rsid w:val="000B2F6F"/>
    <w:rsid w:val="002C3680"/>
    <w:rsid w:val="00416FC1"/>
    <w:rsid w:val="004C6A01"/>
    <w:rsid w:val="00632C6C"/>
    <w:rsid w:val="006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980DE-4CE3-4753-BF4A-2D8AFAFE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F6F"/>
    <w:pPr>
      <w:spacing w:after="240" w:line="300" w:lineRule="auto"/>
    </w:pPr>
    <w:rPr>
      <w:rFonts w:ascii="Calibri" w:eastAsia="MS Mincho"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TWIA</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Radley</dc:creator>
  <cp:keywords/>
  <dc:description/>
  <cp:lastModifiedBy>Jessica Crass</cp:lastModifiedBy>
  <cp:revision>4</cp:revision>
  <dcterms:created xsi:type="dcterms:W3CDTF">2016-11-15T16:56:00Z</dcterms:created>
  <dcterms:modified xsi:type="dcterms:W3CDTF">2016-11-15T17:01:00Z</dcterms:modified>
</cp:coreProperties>
</file>