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9D" w:rsidRPr="00820B6E" w:rsidRDefault="0083124D" w:rsidP="007C4F9D">
      <w:pPr>
        <w:jc w:val="center"/>
        <w:rPr>
          <w:smallCaps/>
          <w:sz w:val="28"/>
          <w:szCs w:val="28"/>
        </w:rPr>
      </w:pPr>
      <w:bookmarkStart w:id="0" w:name="_GoBack"/>
      <w:bookmarkEnd w:id="0"/>
      <w:r w:rsidRPr="00820B6E">
        <w:rPr>
          <w:smallCaps/>
          <w:sz w:val="40"/>
          <w:szCs w:val="40"/>
        </w:rPr>
        <w:t>Side by Side</w:t>
      </w:r>
      <w:r w:rsidR="007C4F9D" w:rsidRPr="00820B6E">
        <w:rPr>
          <w:smallCaps/>
          <w:sz w:val="40"/>
          <w:szCs w:val="40"/>
        </w:rPr>
        <w:t xml:space="preserve"> Comparison</w:t>
      </w:r>
      <w:r w:rsidRPr="00820B6E">
        <w:rPr>
          <w:smallCaps/>
          <w:sz w:val="40"/>
          <w:szCs w:val="40"/>
        </w:rPr>
        <w:t xml:space="preserve"> Example</w:t>
      </w:r>
    </w:p>
    <w:p w:rsidR="007C4F9D" w:rsidRDefault="007C4F9D" w:rsidP="007C4F9D">
      <w:pPr>
        <w:rPr>
          <w:sz w:val="28"/>
          <w:szCs w:val="28"/>
        </w:rPr>
      </w:pPr>
      <w:r>
        <w:rPr>
          <w:sz w:val="28"/>
          <w:szCs w:val="28"/>
        </w:rPr>
        <w:t>Dwelling Policy</w:t>
      </w:r>
    </w:p>
    <w:tbl>
      <w:tblPr>
        <w:tblStyle w:val="TableGrid"/>
        <w:tblW w:w="0" w:type="auto"/>
        <w:tblLook w:val="04A0" w:firstRow="1" w:lastRow="0" w:firstColumn="1" w:lastColumn="0" w:noHBand="0" w:noVBand="1"/>
      </w:tblPr>
      <w:tblGrid>
        <w:gridCol w:w="3116"/>
        <w:gridCol w:w="3117"/>
        <w:gridCol w:w="3117"/>
      </w:tblGrid>
      <w:tr w:rsidR="007C4F9D" w:rsidTr="007C4F9D">
        <w:tc>
          <w:tcPr>
            <w:tcW w:w="3116" w:type="dxa"/>
          </w:tcPr>
          <w:p w:rsidR="007C4F9D" w:rsidRPr="007C4F9D" w:rsidRDefault="0083124D" w:rsidP="007C4F9D">
            <w:pPr>
              <w:jc w:val="center"/>
            </w:pPr>
            <w:r>
              <w:t>TWIA</w:t>
            </w:r>
          </w:p>
        </w:tc>
        <w:tc>
          <w:tcPr>
            <w:tcW w:w="3117" w:type="dxa"/>
          </w:tcPr>
          <w:p w:rsidR="007C4F9D" w:rsidRPr="007C4F9D" w:rsidRDefault="0083124D" w:rsidP="007C4F9D">
            <w:pPr>
              <w:jc w:val="center"/>
              <w:rPr>
                <w:sz w:val="24"/>
                <w:szCs w:val="24"/>
              </w:rPr>
            </w:pPr>
            <w:r>
              <w:rPr>
                <w:sz w:val="24"/>
                <w:szCs w:val="24"/>
              </w:rPr>
              <w:t>Filed Form</w:t>
            </w:r>
          </w:p>
        </w:tc>
        <w:tc>
          <w:tcPr>
            <w:tcW w:w="3117" w:type="dxa"/>
          </w:tcPr>
          <w:p w:rsidR="007C4F9D" w:rsidRPr="007C4F9D" w:rsidRDefault="0083124D" w:rsidP="007C4F9D">
            <w:pPr>
              <w:jc w:val="center"/>
              <w:rPr>
                <w:sz w:val="24"/>
                <w:szCs w:val="24"/>
              </w:rPr>
            </w:pPr>
            <w:r>
              <w:rPr>
                <w:sz w:val="24"/>
                <w:szCs w:val="24"/>
              </w:rPr>
              <w:t>Difference</w:t>
            </w:r>
          </w:p>
        </w:tc>
      </w:tr>
      <w:tr w:rsidR="007C4F9D" w:rsidTr="007C4F9D">
        <w:tc>
          <w:tcPr>
            <w:tcW w:w="3116" w:type="dxa"/>
          </w:tcPr>
          <w:p w:rsidR="004F6E4C" w:rsidRDefault="004F6E4C" w:rsidP="004F6E4C">
            <w:pPr>
              <w:autoSpaceDE w:val="0"/>
              <w:autoSpaceDN w:val="0"/>
              <w:adjustRightInd w:val="0"/>
              <w:rPr>
                <w:rFonts w:ascii="Calibri" w:hAnsi="Calibri" w:cs="Calibri"/>
                <w:sz w:val="20"/>
                <w:szCs w:val="20"/>
              </w:rPr>
            </w:pPr>
            <w:r>
              <w:rPr>
                <w:rFonts w:ascii="Calibri" w:hAnsi="Calibri" w:cs="Calibri"/>
                <w:sz w:val="20"/>
                <w:szCs w:val="20"/>
              </w:rPr>
              <w:t>1. The dwelling on the described location shown in the</w:t>
            </w:r>
          </w:p>
          <w:p w:rsidR="007C4F9D" w:rsidRPr="004F6E4C" w:rsidRDefault="004F6E4C" w:rsidP="00FB31FC">
            <w:pPr>
              <w:autoSpaceDE w:val="0"/>
              <w:autoSpaceDN w:val="0"/>
              <w:adjustRightInd w:val="0"/>
              <w:rPr>
                <w:sz w:val="20"/>
                <w:szCs w:val="20"/>
              </w:rPr>
            </w:pPr>
            <w:r>
              <w:rPr>
                <w:rFonts w:ascii="Calibri" w:hAnsi="Calibri" w:cs="Calibri"/>
                <w:sz w:val="20"/>
                <w:szCs w:val="20"/>
              </w:rPr>
              <w:t>Declarations, used principally for dwelling purposes, including structures attached to the dwelling, unless</w:t>
            </w:r>
            <w:r w:rsidR="00FB31FC">
              <w:rPr>
                <w:rFonts w:ascii="Calibri" w:hAnsi="Calibri" w:cs="Calibri"/>
                <w:sz w:val="20"/>
                <w:szCs w:val="20"/>
              </w:rPr>
              <w:t xml:space="preserve"> </w:t>
            </w:r>
            <w:r>
              <w:rPr>
                <w:rFonts w:ascii="Calibri" w:hAnsi="Calibri" w:cs="Calibri"/>
                <w:sz w:val="20"/>
                <w:szCs w:val="20"/>
              </w:rPr>
              <w:t>listed in the PROPERTY NOT COVERED section of the</w:t>
            </w:r>
            <w:r w:rsidR="00FB31FC">
              <w:rPr>
                <w:rFonts w:ascii="Calibri" w:hAnsi="Calibri" w:cs="Calibri"/>
                <w:sz w:val="20"/>
                <w:szCs w:val="20"/>
              </w:rPr>
              <w:t xml:space="preserve"> </w:t>
            </w:r>
            <w:r>
              <w:rPr>
                <w:rFonts w:ascii="Calibri" w:hAnsi="Calibri" w:cs="Calibri"/>
                <w:sz w:val="20"/>
                <w:szCs w:val="20"/>
              </w:rPr>
              <w:t xml:space="preserve">policy. </w:t>
            </w:r>
          </w:p>
        </w:tc>
        <w:tc>
          <w:tcPr>
            <w:tcW w:w="3117" w:type="dxa"/>
          </w:tcPr>
          <w:p w:rsidR="004F6E4C" w:rsidRDefault="004F6E4C" w:rsidP="004F6E4C">
            <w:pPr>
              <w:autoSpaceDE w:val="0"/>
              <w:autoSpaceDN w:val="0"/>
              <w:adjustRightInd w:val="0"/>
              <w:rPr>
                <w:rFonts w:ascii="Calibri" w:hAnsi="Calibri" w:cs="Calibri"/>
                <w:sz w:val="20"/>
                <w:szCs w:val="20"/>
              </w:rPr>
            </w:pPr>
            <w:r>
              <w:rPr>
                <w:rFonts w:ascii="Calibri" w:hAnsi="Calibri" w:cs="Calibri"/>
                <w:sz w:val="20"/>
                <w:szCs w:val="20"/>
              </w:rPr>
              <w:t>1. The dwelling on the described location shown in the</w:t>
            </w:r>
          </w:p>
          <w:p w:rsidR="007C4F9D" w:rsidRDefault="004F6E4C" w:rsidP="00FB31FC">
            <w:pPr>
              <w:autoSpaceDE w:val="0"/>
              <w:autoSpaceDN w:val="0"/>
              <w:adjustRightInd w:val="0"/>
              <w:rPr>
                <w:sz w:val="28"/>
                <w:szCs w:val="28"/>
              </w:rPr>
            </w:pPr>
            <w:r>
              <w:rPr>
                <w:rFonts w:ascii="Calibri" w:hAnsi="Calibri" w:cs="Calibri"/>
                <w:sz w:val="20"/>
                <w:szCs w:val="20"/>
              </w:rPr>
              <w:t>Declarations, used principally for dwelling purposes, including structures attached to the dwelling, unless</w:t>
            </w:r>
            <w:r w:rsidR="00FB31FC">
              <w:rPr>
                <w:rFonts w:ascii="Calibri" w:hAnsi="Calibri" w:cs="Calibri"/>
                <w:sz w:val="20"/>
                <w:szCs w:val="20"/>
              </w:rPr>
              <w:t xml:space="preserve"> </w:t>
            </w:r>
            <w:r>
              <w:rPr>
                <w:rFonts w:ascii="Calibri" w:hAnsi="Calibri" w:cs="Calibri"/>
                <w:sz w:val="20"/>
                <w:szCs w:val="20"/>
              </w:rPr>
              <w:t>listed in the PROPERTY NOT COVERED section of the</w:t>
            </w:r>
            <w:r w:rsidR="00FB31FC">
              <w:rPr>
                <w:rFonts w:ascii="Calibri" w:hAnsi="Calibri" w:cs="Calibri"/>
                <w:sz w:val="20"/>
                <w:szCs w:val="20"/>
              </w:rPr>
              <w:t xml:space="preserve"> </w:t>
            </w:r>
            <w:r>
              <w:rPr>
                <w:rFonts w:ascii="Calibri" w:hAnsi="Calibri" w:cs="Calibri"/>
                <w:sz w:val="20"/>
                <w:szCs w:val="20"/>
              </w:rPr>
              <w:t>policy.</w:t>
            </w:r>
          </w:p>
        </w:tc>
        <w:tc>
          <w:tcPr>
            <w:tcW w:w="3117" w:type="dxa"/>
          </w:tcPr>
          <w:p w:rsidR="007C4F9D" w:rsidRPr="004F6E4C" w:rsidRDefault="004F6E4C" w:rsidP="007C4F9D">
            <w:pPr>
              <w:rPr>
                <w:sz w:val="20"/>
                <w:szCs w:val="20"/>
              </w:rPr>
            </w:pPr>
            <w:r>
              <w:rPr>
                <w:sz w:val="20"/>
                <w:szCs w:val="20"/>
              </w:rPr>
              <w:t>Same</w:t>
            </w:r>
          </w:p>
        </w:tc>
      </w:tr>
      <w:tr w:rsidR="00820B6E" w:rsidTr="007C4F9D">
        <w:tc>
          <w:tcPr>
            <w:tcW w:w="3116" w:type="dxa"/>
          </w:tcPr>
          <w:p w:rsidR="00820B6E" w:rsidRDefault="00820B6E" w:rsidP="004F6E4C">
            <w:pPr>
              <w:autoSpaceDE w:val="0"/>
              <w:autoSpaceDN w:val="0"/>
              <w:adjustRightInd w:val="0"/>
              <w:rPr>
                <w:rFonts w:ascii="Calibri" w:hAnsi="Calibri" w:cs="Calibri"/>
                <w:sz w:val="20"/>
                <w:szCs w:val="20"/>
              </w:rPr>
            </w:pPr>
          </w:p>
        </w:tc>
        <w:tc>
          <w:tcPr>
            <w:tcW w:w="3117" w:type="dxa"/>
          </w:tcPr>
          <w:p w:rsidR="00820B6E" w:rsidRDefault="00820B6E" w:rsidP="004F6E4C">
            <w:pPr>
              <w:autoSpaceDE w:val="0"/>
              <w:autoSpaceDN w:val="0"/>
              <w:adjustRightInd w:val="0"/>
              <w:rPr>
                <w:rFonts w:ascii="Calibri" w:hAnsi="Calibri" w:cs="Calibri"/>
                <w:sz w:val="20"/>
                <w:szCs w:val="20"/>
              </w:rPr>
            </w:pPr>
          </w:p>
        </w:tc>
        <w:tc>
          <w:tcPr>
            <w:tcW w:w="3117" w:type="dxa"/>
          </w:tcPr>
          <w:p w:rsidR="00820B6E" w:rsidRDefault="00820B6E" w:rsidP="007C4F9D">
            <w:pPr>
              <w:rPr>
                <w:sz w:val="20"/>
                <w:szCs w:val="20"/>
              </w:rPr>
            </w:pPr>
          </w:p>
        </w:tc>
      </w:tr>
      <w:tr w:rsidR="007C4F9D" w:rsidTr="007C4F9D">
        <w:tc>
          <w:tcPr>
            <w:tcW w:w="3116" w:type="dxa"/>
          </w:tcPr>
          <w:p w:rsidR="00FB31FC" w:rsidRDefault="00FB31FC" w:rsidP="0083124D">
            <w:pPr>
              <w:rPr>
                <w:rFonts w:ascii="Calibri" w:hAnsi="Calibri" w:cs="Calibri"/>
                <w:sz w:val="20"/>
                <w:szCs w:val="20"/>
              </w:rPr>
            </w:pPr>
            <w:r>
              <w:rPr>
                <w:rFonts w:ascii="Calibri" w:hAnsi="Calibri" w:cs="Calibri"/>
                <w:sz w:val="20"/>
                <w:szCs w:val="20"/>
              </w:rPr>
              <w:t>Exclusions</w:t>
            </w:r>
          </w:p>
          <w:p w:rsidR="007C4F9D" w:rsidRPr="004F6E4C" w:rsidRDefault="00FB31FC" w:rsidP="0083124D">
            <w:pPr>
              <w:rPr>
                <w:sz w:val="20"/>
                <w:szCs w:val="20"/>
              </w:rPr>
            </w:pPr>
            <w:r>
              <w:rPr>
                <w:rFonts w:ascii="Calibri" w:hAnsi="Calibri" w:cs="Calibri"/>
                <w:sz w:val="20"/>
                <w:szCs w:val="20"/>
              </w:rPr>
              <w:t>The following exclusions apply to loss to covered property:</w:t>
            </w:r>
          </w:p>
        </w:tc>
        <w:tc>
          <w:tcPr>
            <w:tcW w:w="3117" w:type="dxa"/>
          </w:tcPr>
          <w:p w:rsidR="00FB31FC" w:rsidRDefault="00FB31FC" w:rsidP="00FB31FC">
            <w:pPr>
              <w:autoSpaceDE w:val="0"/>
              <w:autoSpaceDN w:val="0"/>
              <w:adjustRightInd w:val="0"/>
              <w:rPr>
                <w:rFonts w:ascii="Calibri" w:hAnsi="Calibri" w:cs="Calibri"/>
                <w:sz w:val="20"/>
                <w:szCs w:val="20"/>
              </w:rPr>
            </w:pPr>
            <w:r>
              <w:rPr>
                <w:rFonts w:ascii="Calibri" w:hAnsi="Calibri" w:cs="Calibri"/>
                <w:sz w:val="20"/>
                <w:szCs w:val="20"/>
              </w:rPr>
              <w:t>Exclusions</w:t>
            </w:r>
          </w:p>
          <w:p w:rsidR="00FB31FC" w:rsidRDefault="00FB31FC" w:rsidP="00FB31FC">
            <w:pPr>
              <w:autoSpaceDE w:val="0"/>
              <w:autoSpaceDN w:val="0"/>
              <w:adjustRightInd w:val="0"/>
              <w:rPr>
                <w:rFonts w:ascii="Calibri" w:hAnsi="Calibri" w:cs="Calibri"/>
                <w:sz w:val="20"/>
                <w:szCs w:val="20"/>
              </w:rPr>
            </w:pPr>
            <w:r>
              <w:rPr>
                <w:rFonts w:ascii="Calibri" w:hAnsi="Calibri" w:cs="Calibri"/>
                <w:sz w:val="20"/>
                <w:szCs w:val="20"/>
              </w:rPr>
              <w:t>We do not insure for any loss caused directly or indirectly by any of the following. Such loss is excluded regardless of any other</w:t>
            </w:r>
          </w:p>
          <w:p w:rsidR="007C4F9D" w:rsidRPr="004F6E4C" w:rsidRDefault="00FB31FC" w:rsidP="00FB31FC">
            <w:pPr>
              <w:autoSpaceDE w:val="0"/>
              <w:autoSpaceDN w:val="0"/>
              <w:adjustRightInd w:val="0"/>
              <w:rPr>
                <w:sz w:val="20"/>
                <w:szCs w:val="20"/>
              </w:rPr>
            </w:pPr>
            <w:proofErr w:type="gramStart"/>
            <w:r>
              <w:rPr>
                <w:rFonts w:ascii="Calibri" w:hAnsi="Calibri" w:cs="Calibri"/>
                <w:sz w:val="20"/>
                <w:szCs w:val="20"/>
              </w:rPr>
              <w:t>cause</w:t>
            </w:r>
            <w:proofErr w:type="gramEnd"/>
            <w:r>
              <w:rPr>
                <w:rFonts w:ascii="Calibri" w:hAnsi="Calibri" w:cs="Calibri"/>
                <w:sz w:val="20"/>
                <w:szCs w:val="20"/>
              </w:rPr>
              <w:t xml:space="preserve"> or event contributing concurrently or in any sequence to the loss. The following exclusions apply to loss to covered property:</w:t>
            </w:r>
          </w:p>
        </w:tc>
        <w:tc>
          <w:tcPr>
            <w:tcW w:w="3117" w:type="dxa"/>
          </w:tcPr>
          <w:p w:rsidR="007C4F9D" w:rsidRPr="004F6E4C" w:rsidRDefault="00FB31FC" w:rsidP="007C4F9D">
            <w:pPr>
              <w:rPr>
                <w:sz w:val="20"/>
                <w:szCs w:val="20"/>
              </w:rPr>
            </w:pPr>
            <w:r>
              <w:rPr>
                <w:sz w:val="20"/>
                <w:szCs w:val="20"/>
              </w:rPr>
              <w:t>The TWIA policy doesn’t include the anti-concurrent causation language.</w:t>
            </w:r>
          </w:p>
        </w:tc>
      </w:tr>
      <w:tr w:rsidR="00820B6E" w:rsidTr="007C4F9D">
        <w:tc>
          <w:tcPr>
            <w:tcW w:w="3116" w:type="dxa"/>
          </w:tcPr>
          <w:p w:rsidR="00820B6E" w:rsidRDefault="00820B6E" w:rsidP="0083124D">
            <w:pPr>
              <w:rPr>
                <w:rFonts w:ascii="Calibri" w:hAnsi="Calibri" w:cs="Calibri"/>
                <w:sz w:val="20"/>
                <w:szCs w:val="20"/>
              </w:rPr>
            </w:pPr>
          </w:p>
        </w:tc>
        <w:tc>
          <w:tcPr>
            <w:tcW w:w="3117" w:type="dxa"/>
          </w:tcPr>
          <w:p w:rsidR="00820B6E" w:rsidRDefault="00820B6E" w:rsidP="00FB31FC">
            <w:pPr>
              <w:autoSpaceDE w:val="0"/>
              <w:autoSpaceDN w:val="0"/>
              <w:adjustRightInd w:val="0"/>
              <w:rPr>
                <w:rFonts w:ascii="Calibri" w:hAnsi="Calibri" w:cs="Calibri"/>
                <w:sz w:val="20"/>
                <w:szCs w:val="20"/>
              </w:rPr>
            </w:pPr>
          </w:p>
        </w:tc>
        <w:tc>
          <w:tcPr>
            <w:tcW w:w="3117" w:type="dxa"/>
          </w:tcPr>
          <w:p w:rsidR="00820B6E" w:rsidRDefault="00820B6E" w:rsidP="007C4F9D">
            <w:pPr>
              <w:rPr>
                <w:sz w:val="20"/>
                <w:szCs w:val="20"/>
              </w:rPr>
            </w:pPr>
          </w:p>
        </w:tc>
      </w:tr>
      <w:tr w:rsidR="007C4F9D" w:rsidTr="004F6E4C">
        <w:trPr>
          <w:trHeight w:val="1781"/>
        </w:trPr>
        <w:tc>
          <w:tcPr>
            <w:tcW w:w="3116" w:type="dxa"/>
          </w:tcPr>
          <w:p w:rsidR="007C4F9D" w:rsidRDefault="00DA7869" w:rsidP="007C4F9D">
            <w:pPr>
              <w:rPr>
                <w:sz w:val="20"/>
                <w:szCs w:val="20"/>
              </w:rPr>
            </w:pPr>
            <w:r>
              <w:rPr>
                <w:sz w:val="20"/>
                <w:szCs w:val="20"/>
              </w:rPr>
              <w:t>Conditions</w:t>
            </w:r>
          </w:p>
          <w:p w:rsidR="00DA7869" w:rsidRDefault="00DA7869" w:rsidP="007C4F9D">
            <w:pPr>
              <w:rPr>
                <w:sz w:val="20"/>
                <w:szCs w:val="20"/>
              </w:rPr>
            </w:pPr>
            <w:r>
              <w:rPr>
                <w:sz w:val="20"/>
                <w:szCs w:val="20"/>
              </w:rPr>
              <w:t>10. Limited Judicial Remedies</w:t>
            </w:r>
          </w:p>
          <w:p w:rsidR="00DA7869" w:rsidRDefault="00DA7869" w:rsidP="007C4F9D">
            <w:pPr>
              <w:rPr>
                <w:sz w:val="20"/>
                <w:szCs w:val="20"/>
              </w:rPr>
            </w:pPr>
            <w:r>
              <w:rPr>
                <w:sz w:val="20"/>
                <w:szCs w:val="20"/>
              </w:rPr>
              <w:t xml:space="preserve">Your access to judicial review of our decisions under this policy is limited by statute.  </w:t>
            </w:r>
          </w:p>
          <w:p w:rsidR="00DA7869" w:rsidRPr="00DA7869" w:rsidRDefault="00DA7869" w:rsidP="00820B6E">
            <w:pPr>
              <w:pStyle w:val="ListParagraph"/>
              <w:numPr>
                <w:ilvl w:val="0"/>
                <w:numId w:val="1"/>
              </w:numPr>
              <w:ind w:left="360" w:firstLine="0"/>
              <w:contextualSpacing w:val="0"/>
              <w:rPr>
                <w:sz w:val="20"/>
                <w:szCs w:val="20"/>
              </w:rPr>
            </w:pPr>
            <w:r>
              <w:rPr>
                <w:sz w:val="20"/>
                <w:szCs w:val="20"/>
              </w:rPr>
              <w:t>You may not bring a private lawsuit against us, our agent or representative under Ch. 541 (concerning unfair methods of competition and unfair or deceptive acts or practices) or 542 (concerning processing and settlement of claims</w:t>
            </w:r>
            <w:r w:rsidR="00676667">
              <w:rPr>
                <w:sz w:val="20"/>
                <w:szCs w:val="20"/>
              </w:rPr>
              <w:t>), Texas Insurance Code.  Subchapter L-1</w:t>
            </w:r>
            <w:r w:rsidR="00820B6E">
              <w:rPr>
                <w:sz w:val="20"/>
                <w:szCs w:val="20"/>
              </w:rPr>
              <w:t>,</w:t>
            </w:r>
            <w:r w:rsidR="00676667">
              <w:rPr>
                <w:sz w:val="20"/>
                <w:szCs w:val="20"/>
              </w:rPr>
              <w:t xml:space="preserve"> Ch.2210, Texas Insurance Code provides the exclusive remedies for claims against us, our agent or our representative.</w:t>
            </w:r>
          </w:p>
        </w:tc>
        <w:tc>
          <w:tcPr>
            <w:tcW w:w="3117" w:type="dxa"/>
          </w:tcPr>
          <w:p w:rsidR="007C4F9D" w:rsidRPr="00DA7869" w:rsidRDefault="00DA7869" w:rsidP="007C4F9D">
            <w:pPr>
              <w:rPr>
                <w:sz w:val="20"/>
                <w:szCs w:val="20"/>
              </w:rPr>
            </w:pPr>
            <w:r w:rsidRPr="00DA7869">
              <w:rPr>
                <w:sz w:val="20"/>
                <w:szCs w:val="20"/>
              </w:rPr>
              <w:t>N/A</w:t>
            </w:r>
          </w:p>
        </w:tc>
        <w:tc>
          <w:tcPr>
            <w:tcW w:w="3117" w:type="dxa"/>
          </w:tcPr>
          <w:p w:rsidR="007C4F9D" w:rsidRPr="003272B7" w:rsidRDefault="00820B6E" w:rsidP="00820B6E">
            <w:pPr>
              <w:rPr>
                <w:sz w:val="20"/>
                <w:szCs w:val="20"/>
              </w:rPr>
            </w:pPr>
            <w:r>
              <w:rPr>
                <w:sz w:val="20"/>
                <w:szCs w:val="20"/>
              </w:rPr>
              <w:t>The provisions of Subchapter L-1, Chapter 2210, apply exclusively to TWIA.  The filed form does not include a corresponding provision.</w:t>
            </w:r>
          </w:p>
        </w:tc>
      </w:tr>
    </w:tbl>
    <w:p w:rsidR="007C4F9D" w:rsidRPr="007C4F9D" w:rsidRDefault="007C4F9D" w:rsidP="00820B6E">
      <w:pPr>
        <w:rPr>
          <w:sz w:val="28"/>
          <w:szCs w:val="28"/>
        </w:rPr>
      </w:pPr>
    </w:p>
    <w:sectPr w:rsidR="007C4F9D" w:rsidRPr="007C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34956"/>
    <w:multiLevelType w:val="hybridMultilevel"/>
    <w:tmpl w:val="AE941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9D"/>
    <w:rsid w:val="00092D25"/>
    <w:rsid w:val="00193352"/>
    <w:rsid w:val="003149E5"/>
    <w:rsid w:val="003272B7"/>
    <w:rsid w:val="003F231D"/>
    <w:rsid w:val="00402444"/>
    <w:rsid w:val="004F6E4C"/>
    <w:rsid w:val="00676667"/>
    <w:rsid w:val="007341FE"/>
    <w:rsid w:val="007C4F9D"/>
    <w:rsid w:val="00820B6E"/>
    <w:rsid w:val="0083124D"/>
    <w:rsid w:val="00A75867"/>
    <w:rsid w:val="00B553F8"/>
    <w:rsid w:val="00DA7869"/>
    <w:rsid w:val="00E03F68"/>
    <w:rsid w:val="00F51A70"/>
    <w:rsid w:val="00FB31FC"/>
    <w:rsid w:val="00FF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FE57-A0D5-4731-BEAE-F3E4985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1D"/>
    <w:rPr>
      <w:rFonts w:ascii="Segoe UI" w:hAnsi="Segoe UI" w:cs="Segoe UI"/>
      <w:sz w:val="18"/>
      <w:szCs w:val="18"/>
    </w:rPr>
  </w:style>
  <w:style w:type="paragraph" w:styleId="ListParagraph">
    <w:name w:val="List Paragraph"/>
    <w:basedOn w:val="Normal"/>
    <w:uiPriority w:val="34"/>
    <w:qFormat/>
    <w:rsid w:val="00DA7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Moden</dc:creator>
  <cp:keywords/>
  <dc:description/>
  <cp:lastModifiedBy>David Durden</cp:lastModifiedBy>
  <cp:revision>2</cp:revision>
  <cp:lastPrinted>2017-03-15T15:17:00Z</cp:lastPrinted>
  <dcterms:created xsi:type="dcterms:W3CDTF">2017-04-14T20:38:00Z</dcterms:created>
  <dcterms:modified xsi:type="dcterms:W3CDTF">2017-04-14T20:38:00Z</dcterms:modified>
</cp:coreProperties>
</file>